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  <w:r w:rsidRPr="00205156">
        <w:rPr>
          <w:sz w:val="20"/>
          <w:szCs w:val="20"/>
        </w:rPr>
        <w:t xml:space="preserve">Постановлением Девятого Арбитражного апелляционного суда от 04 сентября 2015 года </w:t>
      </w:r>
      <w:r w:rsidRPr="00205156">
        <w:rPr>
          <w:b/>
          <w:bCs/>
          <w:sz w:val="20"/>
          <w:szCs w:val="20"/>
        </w:rPr>
        <w:t>суд обязал Правительство Москвы, МГО ОГО ВФСО «Динамо» и ЗАО «</w:t>
      </w:r>
      <w:proofErr w:type="spellStart"/>
      <w:r w:rsidRPr="00205156">
        <w:rPr>
          <w:b/>
          <w:bCs/>
          <w:sz w:val="20"/>
          <w:szCs w:val="20"/>
        </w:rPr>
        <w:t>Энергостройкомплект</w:t>
      </w:r>
      <w:proofErr w:type="spellEnd"/>
      <w:r w:rsidRPr="00205156">
        <w:rPr>
          <w:b/>
          <w:bCs/>
          <w:sz w:val="20"/>
          <w:szCs w:val="20"/>
        </w:rPr>
        <w:t>-М» подписать акт о результатах реализации инвестиционн</w:t>
      </w:r>
      <w:bookmarkStart w:id="0" w:name="_GoBack"/>
      <w:bookmarkEnd w:id="0"/>
      <w:r w:rsidRPr="00205156">
        <w:rPr>
          <w:b/>
          <w:bCs/>
          <w:sz w:val="20"/>
          <w:szCs w:val="20"/>
        </w:rPr>
        <w:t xml:space="preserve">ого проекта </w:t>
      </w:r>
      <w:r w:rsidRPr="00205156">
        <w:rPr>
          <w:sz w:val="20"/>
          <w:szCs w:val="20"/>
        </w:rPr>
        <w:t xml:space="preserve">по Инвестиционному контракту № ДЖП.02.СЗАО.00361 от 20.08.2002 г. (в редакции Дополнительных соглашений № 1 от 24.03.2005 г., № 2 от 24.05.2005 г., № 3 от 16.12.2005 г., № 4 от 30.08.2006 г.) </w:t>
      </w:r>
      <w:r w:rsidRPr="00205156">
        <w:rPr>
          <w:b/>
          <w:bCs/>
          <w:sz w:val="20"/>
          <w:szCs w:val="20"/>
        </w:rPr>
        <w:t>(далее - Контракт)</w:t>
      </w:r>
      <w:r w:rsidRPr="00205156">
        <w:rPr>
          <w:sz w:val="20"/>
          <w:szCs w:val="20"/>
        </w:rPr>
        <w:t xml:space="preserve">. 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  <w:r w:rsidRPr="00205156">
        <w:rPr>
          <w:sz w:val="20"/>
          <w:szCs w:val="20"/>
        </w:rPr>
        <w:t>Данный судебный акт по своей сути является решением о присуждении (понуждении) сторон обязательства (в данном случае - Контракта) к исполнению данного обязательства.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  <w:r w:rsidRPr="00205156">
        <w:rPr>
          <w:sz w:val="20"/>
          <w:szCs w:val="20"/>
        </w:rPr>
        <w:t xml:space="preserve">Необходимо отметить, что подписание сторонами Акта о реализации предусмотрено </w:t>
      </w:r>
      <w:proofErr w:type="gramStart"/>
      <w:r w:rsidRPr="00205156">
        <w:rPr>
          <w:sz w:val="20"/>
          <w:szCs w:val="20"/>
        </w:rPr>
        <w:t>пунктами  1.11.,</w:t>
      </w:r>
      <w:proofErr w:type="gramEnd"/>
      <w:r w:rsidRPr="00205156">
        <w:rPr>
          <w:sz w:val="20"/>
          <w:szCs w:val="20"/>
        </w:rPr>
        <w:t xml:space="preserve"> 3.2., 3.3., 3,5, 5.1.4. Контракта.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  <w:r w:rsidRPr="00205156">
        <w:rPr>
          <w:sz w:val="20"/>
          <w:szCs w:val="20"/>
        </w:rPr>
        <w:t xml:space="preserve">Согласно прямого указания п. 7.2. Контракта, Администрация не несет ответственности по договорам заказчика застройщика или заказчика-инвестора с третьими лицами. 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b/>
          <w:bCs/>
          <w:sz w:val="20"/>
          <w:szCs w:val="20"/>
        </w:rPr>
      </w:pPr>
      <w:r w:rsidRPr="00205156">
        <w:rPr>
          <w:sz w:val="20"/>
          <w:szCs w:val="20"/>
        </w:rPr>
        <w:t xml:space="preserve">Согласно </w:t>
      </w:r>
      <w:r w:rsidRPr="00205156">
        <w:rPr>
          <w:b/>
          <w:bCs/>
          <w:sz w:val="20"/>
          <w:szCs w:val="20"/>
          <w:u w:val="single"/>
        </w:rPr>
        <w:t>п. 7.3</w:t>
      </w:r>
      <w:r w:rsidRPr="00205156">
        <w:rPr>
          <w:sz w:val="20"/>
          <w:szCs w:val="20"/>
        </w:rPr>
        <w:t xml:space="preserve"> Контракта Заказчик-застройщик и Заказчик-Инвестор вправе без согласования Администрации уступить частично свои права по Контракту в части инвестирования проекта третьим лицам с сохранением за собой в полном объеме ответственности перед Администрацией за реализацию проекта. </w:t>
      </w:r>
      <w:r w:rsidRPr="00205156">
        <w:rPr>
          <w:b/>
          <w:bCs/>
          <w:sz w:val="20"/>
          <w:szCs w:val="20"/>
        </w:rPr>
        <w:t xml:space="preserve">После исполнения </w:t>
      </w:r>
      <w:proofErr w:type="spellStart"/>
      <w:r w:rsidRPr="00205156">
        <w:rPr>
          <w:b/>
          <w:bCs/>
          <w:sz w:val="20"/>
          <w:szCs w:val="20"/>
        </w:rPr>
        <w:t>соинвесторами</w:t>
      </w:r>
      <w:proofErr w:type="spellEnd"/>
      <w:r w:rsidRPr="00205156">
        <w:rPr>
          <w:b/>
          <w:bCs/>
          <w:sz w:val="20"/>
          <w:szCs w:val="20"/>
        </w:rPr>
        <w:t xml:space="preserve"> обязательств перед заказчиком-застройщиком и заказчиком-инвестором, последние при подписании Акта о реализации инвестиционного проекта подписывают данный акт от своего имени и от имени привлеченных </w:t>
      </w:r>
      <w:proofErr w:type="spellStart"/>
      <w:r w:rsidRPr="00205156">
        <w:rPr>
          <w:b/>
          <w:bCs/>
          <w:sz w:val="20"/>
          <w:szCs w:val="20"/>
        </w:rPr>
        <w:t>соинвесторов</w:t>
      </w:r>
      <w:proofErr w:type="spellEnd"/>
      <w:r w:rsidRPr="00205156">
        <w:rPr>
          <w:b/>
          <w:bCs/>
          <w:sz w:val="20"/>
          <w:szCs w:val="20"/>
        </w:rPr>
        <w:t xml:space="preserve">. </w:t>
      </w:r>
    </w:p>
    <w:p w:rsidR="00D22582" w:rsidRPr="00205156" w:rsidRDefault="00D22582" w:rsidP="00205156">
      <w:pPr>
        <w:pStyle w:val="Default"/>
        <w:jc w:val="both"/>
        <w:rPr>
          <w:b/>
          <w:bCs/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  <w:r w:rsidRPr="00205156">
        <w:rPr>
          <w:sz w:val="20"/>
          <w:szCs w:val="20"/>
        </w:rPr>
        <w:t>Подписанием Акта о реализации отношения сторон прекращаются (п. 9.2.)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205156">
        <w:rPr>
          <w:sz w:val="20"/>
          <w:szCs w:val="20"/>
        </w:rPr>
        <w:t xml:space="preserve">Суд апелляционной инстанции </w:t>
      </w:r>
      <w:r w:rsidRPr="00205156">
        <w:rPr>
          <w:b/>
          <w:bCs/>
          <w:sz w:val="20"/>
          <w:szCs w:val="20"/>
          <w:u w:val="single"/>
        </w:rPr>
        <w:t xml:space="preserve">(в мотивировочной части судебного акта) указал дословно следующее (на 14 стр. </w:t>
      </w:r>
      <w:proofErr w:type="spellStart"/>
      <w:r w:rsidRPr="00205156">
        <w:rPr>
          <w:b/>
          <w:bCs/>
          <w:sz w:val="20"/>
          <w:szCs w:val="20"/>
          <w:u w:val="single"/>
        </w:rPr>
        <w:t>абз</w:t>
      </w:r>
      <w:proofErr w:type="spellEnd"/>
      <w:r w:rsidRPr="00205156">
        <w:rPr>
          <w:b/>
          <w:bCs/>
          <w:sz w:val="20"/>
          <w:szCs w:val="20"/>
          <w:u w:val="single"/>
        </w:rPr>
        <w:t>. 9, 10):</w:t>
      </w:r>
    </w:p>
    <w:p w:rsidR="00D22582" w:rsidRPr="00205156" w:rsidRDefault="00D22582" w:rsidP="00205156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D22582" w:rsidRPr="00205156" w:rsidRDefault="00D22582" w:rsidP="00205156">
      <w:pPr>
        <w:pStyle w:val="Default"/>
        <w:jc w:val="both"/>
        <w:rPr>
          <w:i/>
          <w:iCs/>
          <w:sz w:val="20"/>
          <w:szCs w:val="20"/>
        </w:rPr>
      </w:pPr>
      <w:r w:rsidRPr="00205156">
        <w:rPr>
          <w:i/>
          <w:iCs/>
          <w:sz w:val="20"/>
          <w:szCs w:val="20"/>
        </w:rPr>
        <w:t xml:space="preserve">«Арбитражный апелляционный суд, </w:t>
      </w:r>
      <w:r w:rsidRPr="00205156">
        <w:rPr>
          <w:b/>
          <w:bCs/>
          <w:i/>
          <w:iCs/>
          <w:sz w:val="20"/>
          <w:szCs w:val="20"/>
        </w:rPr>
        <w:t xml:space="preserve">учитывая </w:t>
      </w:r>
      <w:proofErr w:type="spellStart"/>
      <w:r w:rsidRPr="00205156">
        <w:rPr>
          <w:b/>
          <w:bCs/>
          <w:i/>
          <w:iCs/>
          <w:sz w:val="20"/>
          <w:szCs w:val="20"/>
        </w:rPr>
        <w:t>правопритязания</w:t>
      </w:r>
      <w:proofErr w:type="spellEnd"/>
      <w:r w:rsidRPr="00205156">
        <w:rPr>
          <w:b/>
          <w:bCs/>
          <w:i/>
          <w:iCs/>
          <w:sz w:val="20"/>
          <w:szCs w:val="20"/>
        </w:rPr>
        <w:t xml:space="preserve"> на большую часть квартир</w:t>
      </w:r>
      <w:r w:rsidRPr="00205156">
        <w:rPr>
          <w:i/>
          <w:iCs/>
          <w:sz w:val="20"/>
          <w:szCs w:val="20"/>
        </w:rPr>
        <w:t xml:space="preserve"> </w:t>
      </w:r>
      <w:r w:rsidRPr="00205156">
        <w:rPr>
          <w:b/>
          <w:bCs/>
          <w:i/>
          <w:iCs/>
          <w:sz w:val="20"/>
          <w:szCs w:val="20"/>
          <w:u w:val="single"/>
        </w:rPr>
        <w:t>из доли</w:t>
      </w:r>
      <w:r w:rsidRPr="00205156">
        <w:rPr>
          <w:i/>
          <w:iCs/>
          <w:sz w:val="20"/>
          <w:szCs w:val="20"/>
        </w:rPr>
        <w:t xml:space="preserve"> ЗАО «</w:t>
      </w:r>
      <w:proofErr w:type="spellStart"/>
      <w:r w:rsidRPr="00205156">
        <w:rPr>
          <w:i/>
          <w:iCs/>
          <w:sz w:val="20"/>
          <w:szCs w:val="20"/>
        </w:rPr>
        <w:t>Энергостройкомплект</w:t>
      </w:r>
      <w:proofErr w:type="spellEnd"/>
      <w:r w:rsidRPr="00205156">
        <w:rPr>
          <w:i/>
          <w:iCs/>
          <w:sz w:val="20"/>
          <w:szCs w:val="20"/>
        </w:rPr>
        <w:t xml:space="preserve">-М» участников строительства - физических лиц, </w:t>
      </w:r>
      <w:r w:rsidRPr="00205156">
        <w:rPr>
          <w:b/>
          <w:bCs/>
          <w:i/>
          <w:iCs/>
          <w:sz w:val="20"/>
          <w:szCs w:val="20"/>
        </w:rPr>
        <w:t xml:space="preserve">требования которых признаны обоснованными и подлежащими включению </w:t>
      </w:r>
      <w:r w:rsidRPr="00205156">
        <w:rPr>
          <w:b/>
          <w:bCs/>
          <w:i/>
          <w:iCs/>
          <w:sz w:val="20"/>
          <w:szCs w:val="20"/>
          <w:u w:val="single"/>
        </w:rPr>
        <w:t>в реестр требований должника</w:t>
      </w:r>
      <w:r w:rsidRPr="00205156">
        <w:rPr>
          <w:i/>
          <w:iCs/>
          <w:sz w:val="20"/>
          <w:szCs w:val="20"/>
        </w:rPr>
        <w:t xml:space="preserve">, остальные - часть конкурсной массы, за счет которой станет возможным произвести расчеты с кредиторами, </w:t>
      </w:r>
      <w:r w:rsidRPr="00205156">
        <w:rPr>
          <w:b/>
          <w:bCs/>
          <w:i/>
          <w:iCs/>
          <w:sz w:val="20"/>
          <w:szCs w:val="20"/>
          <w:u w:val="single"/>
        </w:rPr>
        <w:t>считает необходимым исключить</w:t>
      </w:r>
      <w:r w:rsidRPr="00205156">
        <w:rPr>
          <w:b/>
          <w:bCs/>
          <w:i/>
          <w:iCs/>
          <w:sz w:val="20"/>
          <w:szCs w:val="20"/>
        </w:rPr>
        <w:t xml:space="preserve"> из Акта реализации </w:t>
      </w:r>
      <w:r w:rsidRPr="00205156">
        <w:rPr>
          <w:b/>
          <w:bCs/>
          <w:i/>
          <w:iCs/>
          <w:sz w:val="20"/>
          <w:szCs w:val="20"/>
          <w:u w:val="single"/>
        </w:rPr>
        <w:t>сведений о долях сторон Инвестиционного контракта в части жилых и нежилых помещений, поскольку затрагивает права данных лиц</w:t>
      </w:r>
      <w:r w:rsidRPr="00205156">
        <w:rPr>
          <w:i/>
          <w:iCs/>
          <w:sz w:val="20"/>
          <w:szCs w:val="20"/>
          <w:u w:val="single"/>
        </w:rPr>
        <w:t>.</w:t>
      </w:r>
      <w:r w:rsidRPr="00205156">
        <w:rPr>
          <w:i/>
          <w:iCs/>
          <w:sz w:val="20"/>
          <w:szCs w:val="20"/>
        </w:rPr>
        <w:t>»</w:t>
      </w:r>
    </w:p>
    <w:p w:rsidR="00D22582" w:rsidRPr="00205156" w:rsidRDefault="00D22582" w:rsidP="00205156">
      <w:pPr>
        <w:pStyle w:val="Default"/>
        <w:jc w:val="both"/>
        <w:rPr>
          <w:i/>
          <w:iCs/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205156">
        <w:rPr>
          <w:i/>
          <w:iCs/>
          <w:sz w:val="20"/>
          <w:szCs w:val="20"/>
        </w:rPr>
        <w:t xml:space="preserve">«Оценив представленные варианты, суд считает, что </w:t>
      </w:r>
      <w:r w:rsidRPr="00205156">
        <w:rPr>
          <w:b/>
          <w:bCs/>
          <w:i/>
          <w:iCs/>
          <w:sz w:val="20"/>
          <w:szCs w:val="20"/>
        </w:rPr>
        <w:t>распределение жилых и нежилых помещений</w:t>
      </w:r>
      <w:r w:rsidRPr="00205156">
        <w:rPr>
          <w:i/>
          <w:iCs/>
          <w:sz w:val="20"/>
          <w:szCs w:val="20"/>
        </w:rPr>
        <w:t xml:space="preserve"> по Объектам строительства в результате реализации Инвестиционного контракта от 20.08.2002 г. №ДЖП.02.СЗАО.00361 </w:t>
      </w:r>
      <w:r w:rsidRPr="00205156">
        <w:rPr>
          <w:b/>
          <w:bCs/>
          <w:i/>
          <w:iCs/>
          <w:sz w:val="20"/>
          <w:szCs w:val="20"/>
        </w:rPr>
        <w:t>подлежит в следующем соотношении: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440"/>
        <w:gridCol w:w="2440"/>
        <w:gridCol w:w="2440"/>
      </w:tblGrid>
      <w:tr w:rsidR="00D22582" w:rsidRPr="00205156" w:rsidTr="003A2301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 xml:space="preserve">ул. </w:t>
            </w:r>
            <w:proofErr w:type="spellStart"/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Сходненская</w:t>
            </w:r>
            <w:proofErr w:type="spellEnd"/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, д. 6 к. 1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Общая площадь объекта: 15 589,6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.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Жилые помещения всего: 14 525,3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Без учета летних помещений: 14 056,0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  <w:r w:rsidRPr="00205156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270 квартир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Общая площадь нежилых помещений (</w:t>
            </w:r>
            <w:proofErr w:type="gramStart"/>
            <w:r w:rsidRPr="00205156">
              <w:rPr>
                <w:sz w:val="20"/>
                <w:szCs w:val="20"/>
                <w:lang w:eastAsia="ru-RU"/>
              </w:rPr>
              <w:t>у счетом</w:t>
            </w:r>
            <w:proofErr w:type="gramEnd"/>
            <w:r w:rsidRPr="00205156">
              <w:rPr>
                <w:sz w:val="20"/>
                <w:szCs w:val="20"/>
                <w:lang w:eastAsia="ru-RU"/>
              </w:rPr>
              <w:t xml:space="preserve"> площади не входящих в общую площадь здания) 7 318,7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Полезная нежилая площадь (подлежащая разделу) 703,5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АСгМ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 от 16.09.2014г.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Постановление 9ААС от 04.09.2015г.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Жилая площадь (270 квартир)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100% - в доле ЭСКМ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, или привлеченных инвесторов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Из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них к оформлению в собственность только</w:t>
            </w:r>
            <w:r w:rsidRPr="00205156">
              <w:rPr>
                <w:sz w:val="20"/>
                <w:szCs w:val="20"/>
                <w:lang w:eastAsia="ru-RU"/>
              </w:rPr>
              <w:t xml:space="preserve">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3 квартиры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Доля ПМ – 337 299 600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рубл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(определение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АСгМ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 от 28.05.2013г.)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На дату рассмотрения дела суд </w:t>
            </w:r>
            <w:r w:rsidRPr="00205156">
              <w:rPr>
                <w:b/>
                <w:bCs/>
                <w:sz w:val="20"/>
                <w:szCs w:val="20"/>
                <w:u w:val="single"/>
                <w:lang w:eastAsia="ru-RU"/>
              </w:rPr>
              <w:t>выявил</w:t>
            </w:r>
            <w:r w:rsidRPr="00205156">
              <w:rPr>
                <w:sz w:val="20"/>
                <w:szCs w:val="20"/>
                <w:lang w:eastAsia="ru-RU"/>
              </w:rPr>
              <w:t xml:space="preserve">, что на 136 квартир зарегистрировано право собственности* (стр. 15 абз.6),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то в данном объекте в пользу ЭСКМ суд определил 134 квартиры (270-136), что по расчетам суда 49,63%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*данные сведения не соответствуют действительности и являются недостоверными данными, поскольку право собственности оформлено за большим количеством собственников.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05156">
              <w:rPr>
                <w:i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205156">
              <w:rPr>
                <w:i/>
                <w:iCs/>
                <w:sz w:val="20"/>
                <w:szCs w:val="20"/>
                <w:lang w:eastAsia="ru-RU"/>
              </w:rPr>
              <w:t>. в судебном акте 9ААС имеются ошибки.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Суд не указал, а в долю какого инвестора тогда </w:t>
            </w:r>
            <w:r w:rsidRPr="00205156">
              <w:rPr>
                <w:i/>
                <w:iCs/>
                <w:sz w:val="20"/>
                <w:szCs w:val="20"/>
                <w:lang w:eastAsia="ru-RU"/>
              </w:rPr>
              <w:lastRenderedPageBreak/>
              <w:t>входят исключенные из 270-ти 136 квартир?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Т.е. если он «уменьшил» долю ЭСКМ, то и пропорционально должен был изменить долю Пр-ва Москвы, однако этого не сделал.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Доля осталась прежней, но выраженной в денежном выражении.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lastRenderedPageBreak/>
              <w:t>Полезная нежилая площадь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703,5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100% - в доле ЭСКМ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 или привлеченных инвесторов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Из них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к оформлению в собственность только 19,7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Остальные площади оформлены в собственность за иными лицами судебными актами.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В мотивировочной части Пропорции раздела также уменьшены до 49,63%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Однако в судебном акте площади не указаны вовсе.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В резолютивной части: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100% - 703,5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кв.м.в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 доле ЭСКМ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 или привлеченных инвесторов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Суд 9ААС указал на пропорцию 49,63% и в отношении нежилых помещений, однако их вообще не указал.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Тогда суд использует неравный подход: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В части жилых помещений исключает эти площади, а в части нежилых помещений площади, оформленные в собственность - не исключаются.</w:t>
            </w:r>
          </w:p>
        </w:tc>
      </w:tr>
    </w:tbl>
    <w:p w:rsidR="00D22582" w:rsidRPr="00205156" w:rsidRDefault="00D22582" w:rsidP="0020515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440"/>
        <w:gridCol w:w="2440"/>
        <w:gridCol w:w="2440"/>
      </w:tblGrid>
      <w:tr w:rsidR="00D22582" w:rsidRPr="00205156" w:rsidTr="003A2301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 xml:space="preserve">ул. </w:t>
            </w:r>
            <w:proofErr w:type="spellStart"/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Сходненская</w:t>
            </w:r>
            <w:proofErr w:type="spellEnd"/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, д. 14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Общая площадь объекта: 12 654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Жилые помещения всего: 11 839,9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Без учета летних помещений: 11 460,0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  <w:r w:rsidRPr="00205156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 231 квартира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Общая площадь нежилых помещений (</w:t>
            </w:r>
            <w:proofErr w:type="gramStart"/>
            <w:r w:rsidRPr="00205156">
              <w:rPr>
                <w:sz w:val="20"/>
                <w:szCs w:val="20"/>
                <w:lang w:eastAsia="ru-RU"/>
              </w:rPr>
              <w:t>у счетом</w:t>
            </w:r>
            <w:proofErr w:type="gramEnd"/>
            <w:r w:rsidRPr="00205156">
              <w:rPr>
                <w:sz w:val="20"/>
                <w:szCs w:val="20"/>
                <w:lang w:eastAsia="ru-RU"/>
              </w:rPr>
              <w:t xml:space="preserve"> площади не входящих в общую площадь здания) 6 004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Полезная нежилая площадь (подлежащая разделу) 544,8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АСгМ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 от 16.09.2014г.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Постановление 9ААС от 04.09.2015г.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Жилая площадь (231 квартира)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20% (или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47</w:t>
            </w:r>
            <w:r w:rsidRPr="00205156">
              <w:rPr>
                <w:sz w:val="20"/>
                <w:szCs w:val="20"/>
                <w:lang w:eastAsia="ru-RU"/>
              </w:rPr>
              <w:t xml:space="preserve"> квартир) – в долю Администрации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(Определение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АСгМ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 от 30.10.2012г.)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80% или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184</w:t>
            </w:r>
            <w:r w:rsidRPr="00205156">
              <w:rPr>
                <w:sz w:val="20"/>
                <w:szCs w:val="20"/>
                <w:lang w:eastAsia="ru-RU"/>
              </w:rPr>
              <w:t xml:space="preserve"> квартиры – доля ЭСКМ в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 для расчета с привлеченными инвесторами.</w:t>
            </w:r>
          </w:p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Всего 231 квартира из которы</w:t>
            </w:r>
            <w:r w:rsidR="00205156" w:rsidRPr="00205156">
              <w:rPr>
                <w:sz w:val="20"/>
                <w:szCs w:val="20"/>
                <w:lang w:eastAsia="ru-RU"/>
              </w:rPr>
              <w:t>х 87 квартир, (по мнению суда) </w:t>
            </w:r>
            <w:r w:rsidRPr="00205156">
              <w:rPr>
                <w:sz w:val="20"/>
                <w:szCs w:val="20"/>
                <w:lang w:eastAsia="ru-RU"/>
              </w:rPr>
              <w:t xml:space="preserve">свободны от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правопритязаний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 третьих лиц. (стр.15 абз.11)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АСгМ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 от 30.10.2012г.- 47 квартир (доля Администрации)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На дату рассмотрения дела из 47 квартир 21 квартира принадлежит на праве собственности третьим лицам, в связи с чем суд распределил в пользу Администрации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21 </w:t>
            </w:r>
            <w:proofErr w:type="gramStart"/>
            <w:r w:rsidRPr="00205156">
              <w:rPr>
                <w:sz w:val="20"/>
                <w:szCs w:val="20"/>
                <w:lang w:eastAsia="ru-RU"/>
              </w:rPr>
              <w:t>квартиру.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Pr="00205156">
              <w:rPr>
                <w:b/>
                <w:bCs/>
                <w:sz w:val="20"/>
                <w:szCs w:val="20"/>
                <w:lang w:eastAsia="ru-RU"/>
              </w:rPr>
              <w:t>*</w:t>
            </w:r>
            <w:r w:rsidRPr="00205156">
              <w:rPr>
                <w:sz w:val="20"/>
                <w:szCs w:val="20"/>
                <w:lang w:eastAsia="ru-RU"/>
              </w:rPr>
              <w:t xml:space="preserve">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(стр. 15 абз.13)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Суд выявил, что на дату рассмотрения дела на 118 квартир зарегистрировано право </w:t>
            </w:r>
            <w:r w:rsidRPr="00205156">
              <w:rPr>
                <w:sz w:val="20"/>
                <w:szCs w:val="20"/>
                <w:lang w:eastAsia="ru-RU"/>
              </w:rPr>
              <w:lastRenderedPageBreak/>
              <w:t xml:space="preserve">собственности, то в данном объекте подлежит распределению 66 </w:t>
            </w:r>
            <w:proofErr w:type="gramStart"/>
            <w:r w:rsidRPr="00205156">
              <w:rPr>
                <w:sz w:val="20"/>
                <w:szCs w:val="20"/>
                <w:lang w:eastAsia="ru-RU"/>
              </w:rPr>
              <w:t>квартир.*</w:t>
            </w:r>
            <w:proofErr w:type="gramEnd"/>
            <w:r w:rsidRPr="00205156">
              <w:rPr>
                <w:sz w:val="20"/>
                <w:szCs w:val="20"/>
                <w:lang w:eastAsia="ru-RU"/>
              </w:rPr>
              <w:t xml:space="preserve">**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(стр.15 абз.14)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При этом, суд приходит к выводу, что 66 квартир это 14,98%*** доля ЭСКМ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При этом из всего объема квартир из 47 квартир из доли Администрации 21 квартира принадлежит на праве собственности третьим лицам.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lastRenderedPageBreak/>
              <w:t xml:space="preserve">** 47 – 21 = 26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В тексте либо имеется арифметическая ошибка, либо суд пришел к выводу о том, что в долю города входят именно те, на которые оформлены права.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*** видимо, суд делает расчет по такой формуле: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231-118=113 – 47 =66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Но тогда, если исходить из содержания суда: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9,25%-21 квартира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100%-231 квартира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то в пользу ЭСКМ доля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lastRenderedPageBreak/>
              <w:t>должна быть 28,57%, а не 14,98% как указано в решении суда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100%-231 квартира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Х%-66 квартир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05156">
              <w:rPr>
                <w:i/>
                <w:iCs/>
                <w:sz w:val="20"/>
                <w:szCs w:val="20"/>
                <w:lang w:eastAsia="ru-RU"/>
              </w:rPr>
              <w:t>Т.о</w:t>
            </w:r>
            <w:proofErr w:type="spellEnd"/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. либо в тексте допущены существенные арифметические ошибки, либо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суд неправильно применяет условия инвестиционного контракта, отступая от пропорций, подлежащих сторонам и определенных условиями контракта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Опять же, суд не указал, а в долю какого инвестора входят исключенные квартиры.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Сведения о точном количестве зарегистрированных прав на квартиры на </w:t>
            </w:r>
            <w:proofErr w:type="gramStart"/>
            <w:r w:rsidRPr="00205156">
              <w:rPr>
                <w:i/>
                <w:iCs/>
                <w:sz w:val="20"/>
                <w:szCs w:val="20"/>
                <w:lang w:eastAsia="ru-RU"/>
              </w:rPr>
              <w:t>дату  01.09.2015</w:t>
            </w:r>
            <w:proofErr w:type="gramEnd"/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 (дата оглашения судебного акта) отсутствуют.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051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Кроме того, согласно </w:t>
            </w:r>
            <w:proofErr w:type="gramStart"/>
            <w:r w:rsidRPr="00205156">
              <w:rPr>
                <w:rFonts w:ascii="Times New Roman" w:hAnsi="Times New Roman"/>
                <w:i/>
                <w:iCs/>
                <w:sz w:val="20"/>
                <w:szCs w:val="20"/>
              </w:rPr>
              <w:t>Отчету</w:t>
            </w:r>
            <w:proofErr w:type="gramEnd"/>
            <w:r w:rsidRPr="0020515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Конкурсного управляющего по состоянию на 10 сентября 2015г. опубликованному в </w:t>
            </w:r>
            <w:r w:rsidRPr="002051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Едином Федеральном Реестре Сведений о Банкротстве (ЕФРСБ) 18.09.2015 12:51:28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в разделе «Сведения о размере требований кредиторов, включенных в реестр требований о передаче жилых помещений» включено 86 кредиторов – участников строительства, включенных в реестр требований о передаче жилых помещений, большинство из которых – по объектам строительства спорного инвестиционного контракта.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Поэтому указывать, что на жилые помещения не имеется </w:t>
            </w:r>
            <w:proofErr w:type="spellStart"/>
            <w:r w:rsidRPr="00205156">
              <w:rPr>
                <w:i/>
                <w:iCs/>
                <w:sz w:val="20"/>
                <w:szCs w:val="20"/>
                <w:lang w:eastAsia="ru-RU"/>
              </w:rPr>
              <w:t>правопритязаний</w:t>
            </w:r>
            <w:proofErr w:type="spellEnd"/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 некорректно.</w:t>
            </w:r>
          </w:p>
          <w:p w:rsidR="00D22582" w:rsidRPr="00205156" w:rsidRDefault="00D22582" w:rsidP="00205156">
            <w:pPr>
              <w:pStyle w:val="Defaul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lastRenderedPageBreak/>
              <w:t>Полезная нежилая площадь</w:t>
            </w:r>
          </w:p>
          <w:p w:rsidR="00D22582" w:rsidRPr="00205156" w:rsidRDefault="00D22582" w:rsidP="00205156">
            <w:pPr>
              <w:pStyle w:val="Default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544,8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25%-120,6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 – доля Администрации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(Постановление ФАСМО от 27.02.2014г.)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75% - 424,2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. – доля ЭСКМ и(или) привлеченных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соинвесторов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Пропорции раздела также уменьшены до </w:t>
            </w:r>
            <w:r w:rsidRPr="002051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9,25%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14,89%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Однако в мотивировочной части судебного акта площади не указаны вовсе.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В резолютивной части: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25%</w:t>
            </w:r>
            <w:r w:rsidRPr="00205156">
              <w:rPr>
                <w:sz w:val="20"/>
                <w:szCs w:val="20"/>
                <w:lang w:eastAsia="ru-RU"/>
              </w:rPr>
              <w:t xml:space="preserve">-120,6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 – доля Администрации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(Постановление ФАСМО от 27.02.2014г.)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49,05%</w:t>
            </w:r>
            <w:r w:rsidRPr="00205156">
              <w:rPr>
                <w:sz w:val="20"/>
                <w:szCs w:val="20"/>
                <w:lang w:eastAsia="ru-RU"/>
              </w:rPr>
              <w:t xml:space="preserve"> - 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282,8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205156">
              <w:rPr>
                <w:sz w:val="20"/>
                <w:szCs w:val="20"/>
                <w:lang w:eastAsia="ru-RU"/>
              </w:rPr>
              <w:t xml:space="preserve"> – доля ЭСКМ с учетом судебных актов о признании за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соинвесторами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 xml:space="preserve"> права собственности на нежилые помещения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Суд 9ААС указал на пропорцию в отношении нежилых помещений, 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9,25% - Администрация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14,89% - ЭСКМ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однако </w:t>
            </w:r>
            <w:r w:rsidRPr="00205156">
              <w:rPr>
                <w:sz w:val="20"/>
                <w:szCs w:val="20"/>
                <w:lang w:eastAsia="ru-RU"/>
              </w:rPr>
              <w:t>в мотивировочной части судебного акта</w:t>
            </w: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 их вообще не указал. Однако в </w:t>
            </w:r>
            <w:r w:rsidRPr="002051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резолютивной части суда данные пропорции не соответствуют указанным пропорциям мотивировочной части суда.</w:t>
            </w:r>
          </w:p>
        </w:tc>
      </w:tr>
    </w:tbl>
    <w:p w:rsidR="00D22582" w:rsidRPr="00205156" w:rsidRDefault="00D22582" w:rsidP="00205156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440"/>
        <w:gridCol w:w="2200"/>
        <w:gridCol w:w="2680"/>
      </w:tblGrid>
      <w:tr w:rsidR="00D22582" w:rsidRPr="00205156" w:rsidTr="003A2301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 xml:space="preserve">ул. </w:t>
            </w:r>
            <w:proofErr w:type="spellStart"/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Сходненская</w:t>
            </w:r>
            <w:proofErr w:type="spellEnd"/>
            <w:r w:rsidRPr="00205156">
              <w:rPr>
                <w:b/>
                <w:bCs/>
                <w:sz w:val="20"/>
                <w:szCs w:val="20"/>
                <w:highlight w:val="yellow"/>
                <w:u w:val="single"/>
                <w:lang w:eastAsia="ru-RU"/>
              </w:rPr>
              <w:t>, д. 16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Общая площадь объекта: 12 783,9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Жилые помещения всего: 12 066,2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Без учета летних помещений: 11 686,35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5156">
              <w:rPr>
                <w:b/>
                <w:bCs/>
                <w:sz w:val="20"/>
                <w:szCs w:val="20"/>
                <w:u w:val="single"/>
                <w:lang w:eastAsia="ru-RU"/>
              </w:rPr>
              <w:t>132 квартиры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Общая площадь нежилых помещений (</w:t>
            </w:r>
            <w:proofErr w:type="gramStart"/>
            <w:r w:rsidRPr="00205156">
              <w:rPr>
                <w:sz w:val="20"/>
                <w:szCs w:val="20"/>
                <w:lang w:eastAsia="ru-RU"/>
              </w:rPr>
              <w:t>у счетом</w:t>
            </w:r>
            <w:proofErr w:type="gramEnd"/>
            <w:r w:rsidRPr="00205156">
              <w:rPr>
                <w:sz w:val="20"/>
                <w:szCs w:val="20"/>
                <w:lang w:eastAsia="ru-RU"/>
              </w:rPr>
              <w:t xml:space="preserve"> площади не входящих в общую площадь здания) 4 824,7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Полезная нежилая площадь (подлежащая разделу) 499,4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АСгМ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 от 16.09.2014г.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>Постановление 9ААС от 04.09.2015г.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05156"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Жилая площадь (132 квартиры)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100% - в доле ЭСКМ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, и(или) привлеченных инвесторов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6,82% - (стр. 16 </w:t>
            </w:r>
            <w:proofErr w:type="gramStart"/>
            <w:r w:rsidRPr="00205156">
              <w:rPr>
                <w:b/>
                <w:bCs/>
                <w:sz w:val="20"/>
                <w:szCs w:val="20"/>
                <w:lang w:eastAsia="ru-RU"/>
              </w:rPr>
              <w:t>абз.8)-</w:t>
            </w:r>
            <w:proofErr w:type="gramEnd"/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 доля ЭСКМ</w:t>
            </w:r>
          </w:p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Обоснование и расчеты в судебном акте на стр. 16 абз.8 не приведены. Из резолютивной части судебного акта также не усматривается, на основании каких данных приведен именно этот перечень. (стр. 36)</w:t>
            </w:r>
          </w:p>
        </w:tc>
      </w:tr>
      <w:tr w:rsidR="00D22582" w:rsidRPr="00205156" w:rsidTr="003A2301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>Полезная нежилая площадь</w:t>
            </w:r>
          </w:p>
          <w:p w:rsidR="00D22582" w:rsidRPr="00205156" w:rsidRDefault="00D22582" w:rsidP="00205156">
            <w:pPr>
              <w:pStyle w:val="Default"/>
              <w:rPr>
                <w:sz w:val="20"/>
                <w:szCs w:val="20"/>
                <w:lang w:eastAsia="ru-RU"/>
              </w:rPr>
            </w:pPr>
            <w:r w:rsidRPr="00205156">
              <w:rPr>
                <w:sz w:val="20"/>
                <w:szCs w:val="20"/>
                <w:lang w:eastAsia="ru-RU"/>
              </w:rPr>
              <w:t xml:space="preserve">499,4 </w:t>
            </w:r>
            <w:proofErr w:type="spellStart"/>
            <w:r w:rsidRPr="00205156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78,47% - 391,9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205156">
              <w:rPr>
                <w:sz w:val="20"/>
                <w:szCs w:val="20"/>
                <w:lang w:eastAsia="ru-RU"/>
              </w:rPr>
              <w:t xml:space="preserve"> в доле ЭСКМ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, и(или) привлеченных инвесторов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21,53%-107,5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205156">
              <w:rPr>
                <w:sz w:val="20"/>
                <w:szCs w:val="20"/>
                <w:lang w:eastAsia="ru-RU"/>
              </w:rPr>
              <w:t xml:space="preserve"> доля Администрации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78,47% - 391,9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205156">
              <w:rPr>
                <w:sz w:val="20"/>
                <w:szCs w:val="20"/>
                <w:lang w:eastAsia="ru-RU"/>
              </w:rPr>
              <w:t xml:space="preserve"> в доле ЭСКМ</w:t>
            </w:r>
            <w:r w:rsidRPr="00205156">
              <w:rPr>
                <w:b/>
                <w:bCs/>
                <w:sz w:val="20"/>
                <w:szCs w:val="20"/>
                <w:lang w:eastAsia="ru-RU"/>
              </w:rPr>
              <w:t>, и(или) привлеченных инвесторов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205156">
              <w:rPr>
                <w:b/>
                <w:bCs/>
                <w:sz w:val="20"/>
                <w:szCs w:val="20"/>
                <w:lang w:eastAsia="ru-RU"/>
              </w:rPr>
              <w:t xml:space="preserve">21,53%-107,5 </w:t>
            </w:r>
            <w:proofErr w:type="spellStart"/>
            <w:r w:rsidRPr="00205156">
              <w:rPr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205156">
              <w:rPr>
                <w:b/>
                <w:bCs/>
                <w:sz w:val="20"/>
                <w:szCs w:val="20"/>
                <w:lang w:eastAsia="ru-RU"/>
              </w:rPr>
              <w:t>.</w:t>
            </w:r>
            <w:r w:rsidRPr="00205156">
              <w:rPr>
                <w:sz w:val="20"/>
                <w:szCs w:val="20"/>
                <w:lang w:eastAsia="ru-RU"/>
              </w:rPr>
              <w:t xml:space="preserve"> доля Администрации</w:t>
            </w:r>
          </w:p>
          <w:p w:rsidR="00D22582" w:rsidRPr="00205156" w:rsidRDefault="00D22582" w:rsidP="00205156">
            <w:pPr>
              <w:pStyle w:val="Default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D22582" w:rsidRPr="00205156" w:rsidRDefault="00D22582" w:rsidP="00205156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582" w:rsidRPr="00205156" w:rsidRDefault="00D22582" w:rsidP="00205156">
            <w:pPr>
              <w:pStyle w:val="Default"/>
              <w:rPr>
                <w:i/>
                <w:i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>Применительно к нежилым помещениям в данном объекте, суд также использует неравный подход:</w:t>
            </w:r>
          </w:p>
          <w:p w:rsidR="00D22582" w:rsidRPr="00205156" w:rsidRDefault="00D22582" w:rsidP="00205156">
            <w:pPr>
              <w:pStyle w:val="Default"/>
              <w:rPr>
                <w:b/>
                <w:bCs/>
                <w:sz w:val="20"/>
                <w:szCs w:val="20"/>
                <w:lang w:eastAsia="ru-RU"/>
              </w:rPr>
            </w:pPr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В части жилых помещений исключает </w:t>
            </w:r>
            <w:proofErr w:type="gramStart"/>
            <w:r w:rsidRPr="00205156">
              <w:rPr>
                <w:i/>
                <w:iCs/>
                <w:sz w:val="20"/>
                <w:szCs w:val="20"/>
                <w:lang w:eastAsia="ru-RU"/>
              </w:rPr>
              <w:t>площади</w:t>
            </w:r>
            <w:proofErr w:type="gramEnd"/>
            <w:r w:rsidRPr="00205156">
              <w:rPr>
                <w:i/>
                <w:iCs/>
                <w:sz w:val="20"/>
                <w:szCs w:val="20"/>
                <w:lang w:eastAsia="ru-RU"/>
              </w:rPr>
              <w:t xml:space="preserve"> оформленные в собственность, а в части нежилых помещений площади, оформленные в собственность - не исключаются.</w:t>
            </w:r>
          </w:p>
        </w:tc>
      </w:tr>
    </w:tbl>
    <w:p w:rsidR="00D22582" w:rsidRPr="00205156" w:rsidRDefault="00D22582" w:rsidP="00205156">
      <w:pPr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22582" w:rsidRPr="00205156" w:rsidRDefault="00D22582" w:rsidP="002051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05156">
        <w:rPr>
          <w:rFonts w:ascii="Times New Roman" w:hAnsi="Times New Roman"/>
          <w:sz w:val="20"/>
          <w:szCs w:val="20"/>
        </w:rPr>
        <w:t>При указанных обстоятельствах, Постановленный по делу судебный акт апелляционной инстанции не соответствует требованиям закона и условиям Контракта, содержит явные противоречия и арифметические ошибки и неточности.</w:t>
      </w:r>
    </w:p>
    <w:p w:rsidR="00D22582" w:rsidRPr="00205156" w:rsidRDefault="00D22582" w:rsidP="002051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05156">
        <w:rPr>
          <w:rFonts w:ascii="Times New Roman" w:hAnsi="Times New Roman"/>
          <w:sz w:val="20"/>
          <w:szCs w:val="20"/>
        </w:rPr>
        <w:t>Данный судебный акт вероятно, будет безусловно являться предметом жалоб со стороны лиц, участвующих в деле, и предметом исследования судом кассационной инстанции. (АСМО)</w:t>
      </w:r>
    </w:p>
    <w:p w:rsidR="00D22582" w:rsidRPr="00205156" w:rsidRDefault="00D22582" w:rsidP="00205156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05156">
        <w:rPr>
          <w:rFonts w:ascii="Times New Roman" w:hAnsi="Times New Roman"/>
          <w:b/>
          <w:bCs/>
          <w:sz w:val="20"/>
          <w:szCs w:val="20"/>
        </w:rPr>
        <w:lastRenderedPageBreak/>
        <w:t>Обращаем внимание, что Постановление Девятого Арбитражного апелляционного суда от 04 сентября 2015 года НЕ содержит в резолютивной части фразы: «ПРИЗНАТЬ ПРАВО СОБСТВЕННОСТИ»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  <w:r w:rsidRPr="00205156">
        <w:rPr>
          <w:b/>
          <w:bCs/>
          <w:sz w:val="20"/>
          <w:szCs w:val="20"/>
        </w:rPr>
        <w:t>Внимание Граждан, у которых зарегистрировано право собственности на основании судебных актов, сделок или возникло на ином законном основании (например, в порядке приватизации (для лиц, получивших квартиры из доли города и в последующем приватизировавших их) или граждан, кто ранее получил решение суда о признании права собственности, или тех, кто потом произвел отчуждение (купля-продажа, дарение и т.д.)  </w:t>
      </w:r>
    </w:p>
    <w:p w:rsidR="00D22582" w:rsidRPr="00205156" w:rsidRDefault="00D22582" w:rsidP="00205156">
      <w:pPr>
        <w:pStyle w:val="Default"/>
        <w:jc w:val="both"/>
        <w:rPr>
          <w:sz w:val="20"/>
          <w:szCs w:val="20"/>
        </w:rPr>
      </w:pPr>
    </w:p>
    <w:p w:rsidR="00D22582" w:rsidRPr="00205156" w:rsidRDefault="00D22582" w:rsidP="00205156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205156">
        <w:rPr>
          <w:sz w:val="20"/>
          <w:szCs w:val="20"/>
        </w:rPr>
        <w:t xml:space="preserve">Даже в том случае, если Постановление Девятого Арбитражного апелляционного суда от 04 сентября 2015 года по делу № А40-32400/2014-74-10 будет представлено Сторонами спора (Как Администрацией так и ЗАО ЭСКМ) в регистрирующий орган  в качестве основания для государственной регистрации первичного возникновения права собственности на недвижимое имущество (жилые и нежилые помещения в возведенных в результате реализации Контракта многоквартирных домах), то учитывая положения </w:t>
      </w:r>
      <w:hyperlink r:id="rId4" w:history="1">
        <w:r w:rsidRPr="00205156">
          <w:rPr>
            <w:rStyle w:val="a3"/>
            <w:sz w:val="20"/>
            <w:szCs w:val="20"/>
          </w:rPr>
          <w:t>пункта 6</w:t>
        </w:r>
      </w:hyperlink>
      <w:r w:rsidRPr="00205156">
        <w:rPr>
          <w:sz w:val="20"/>
          <w:szCs w:val="20"/>
        </w:rPr>
        <w:t xml:space="preserve"> Информационного письма Президиума ВАС РФ от 21.07.2009 г. № 132 «О некоторых вопросах применения арбитражными судами </w:t>
      </w:r>
      <w:proofErr w:type="spellStart"/>
      <w:r w:rsidRPr="00205156">
        <w:rPr>
          <w:sz w:val="20"/>
          <w:szCs w:val="20"/>
        </w:rPr>
        <w:t>ст.ст</w:t>
      </w:r>
      <w:proofErr w:type="spellEnd"/>
      <w:r w:rsidRPr="00205156">
        <w:rPr>
          <w:sz w:val="20"/>
          <w:szCs w:val="20"/>
        </w:rPr>
        <w:t xml:space="preserve">. 20, 28 ФЗ от 21.07.1997 г. № 122-ФЗ» </w:t>
      </w:r>
      <w:r w:rsidRPr="00205156">
        <w:rPr>
          <w:b/>
          <w:bCs/>
          <w:sz w:val="20"/>
          <w:szCs w:val="20"/>
        </w:rPr>
        <w:t xml:space="preserve">при наличии в реестре записи о праве какого-либо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</w:t>
      </w:r>
      <w:r w:rsidRPr="00205156">
        <w:rPr>
          <w:b/>
          <w:bCs/>
          <w:sz w:val="20"/>
          <w:szCs w:val="20"/>
          <w:u w:val="single"/>
        </w:rPr>
        <w:t>в качестве ответчика.</w:t>
      </w:r>
      <w:r w:rsidRPr="00205156">
        <w:rPr>
          <w:sz w:val="20"/>
          <w:szCs w:val="20"/>
        </w:rPr>
        <w:t xml:space="preserve"> Если судебный акт принят в отношении иного лица, отказ регистратора в государственной регистрации права на недвижимое имущество является законным. В соответствии с указанным, в силу </w:t>
      </w:r>
      <w:hyperlink r:id="rId5" w:history="1">
        <w:r w:rsidRPr="00205156">
          <w:rPr>
            <w:rStyle w:val="a3"/>
            <w:sz w:val="20"/>
            <w:szCs w:val="20"/>
          </w:rPr>
          <w:t>п. 1 ст. 20</w:t>
        </w:r>
      </w:hyperlink>
      <w:r w:rsidRPr="00205156">
        <w:rPr>
          <w:sz w:val="20"/>
          <w:szCs w:val="20"/>
        </w:rPr>
        <w:t xml:space="preserve"> ФЗ от 21.07.1997 г. № 122-ФЗ «О государственной регистрации прав на недвижимое имущество и сделок с ним» </w:t>
      </w:r>
      <w:r w:rsidRPr="00205156">
        <w:rPr>
          <w:b/>
          <w:bCs/>
          <w:sz w:val="20"/>
          <w:szCs w:val="20"/>
          <w:u w:val="single"/>
        </w:rPr>
        <w:t>в государственной регистрации такого права должно быть отказано, поскольку имеются противоречия между заявленными и уже зарегистрированными правами.</w:t>
      </w:r>
    </w:p>
    <w:p w:rsidR="00D22582" w:rsidRPr="00205156" w:rsidRDefault="00D22582" w:rsidP="002051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05156" w:rsidRPr="00205156" w:rsidRDefault="00205156" w:rsidP="00205156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205156">
        <w:rPr>
          <w:rFonts w:ascii="Times New Roman" w:hAnsi="Times New Roman"/>
          <w:sz w:val="20"/>
          <w:szCs w:val="20"/>
        </w:rPr>
        <w:t>С уважением,</w:t>
      </w:r>
    </w:p>
    <w:p w:rsidR="00205156" w:rsidRPr="00205156" w:rsidRDefault="00205156" w:rsidP="00205156">
      <w:pPr>
        <w:shd w:val="clear" w:color="auto" w:fill="FFFFFF"/>
        <w:spacing w:line="240" w:lineRule="auto"/>
        <w:rPr>
          <w:rFonts w:ascii="Times New Roman" w:hAnsi="Times New Roman"/>
          <w:sz w:val="20"/>
          <w:szCs w:val="20"/>
        </w:rPr>
      </w:pPr>
      <w:r w:rsidRPr="00205156">
        <w:rPr>
          <w:rFonts w:ascii="Times New Roman" w:hAnsi="Times New Roman"/>
          <w:sz w:val="20"/>
          <w:szCs w:val="20"/>
        </w:rPr>
        <w:t>Спиридонова Мария</w:t>
      </w:r>
    </w:p>
    <w:p w:rsidR="00205156" w:rsidRPr="00205156" w:rsidRDefault="00205156" w:rsidP="00205156">
      <w:pPr>
        <w:spacing w:line="240" w:lineRule="auto"/>
        <w:rPr>
          <w:rFonts w:ascii="Times New Roman" w:hAnsi="Times New Roman"/>
          <w:sz w:val="20"/>
          <w:szCs w:val="20"/>
        </w:rPr>
      </w:pPr>
      <w:r w:rsidRPr="00205156">
        <w:rPr>
          <w:rFonts w:ascii="Times New Roman" w:hAnsi="Times New Roman"/>
          <w:sz w:val="20"/>
          <w:szCs w:val="20"/>
        </w:rPr>
        <w:t xml:space="preserve">_______________________________________________ </w:t>
      </w:r>
      <w:r w:rsidRPr="00205156">
        <w:rPr>
          <w:rFonts w:ascii="Times New Roman" w:hAnsi="Times New Roman"/>
          <w:sz w:val="20"/>
          <w:szCs w:val="20"/>
        </w:rPr>
        <w:br/>
        <w:t>ООО «</w:t>
      </w:r>
      <w:proofErr w:type="spellStart"/>
      <w:r w:rsidRPr="00205156">
        <w:rPr>
          <w:rFonts w:ascii="Times New Roman" w:hAnsi="Times New Roman"/>
          <w:sz w:val="20"/>
          <w:szCs w:val="20"/>
        </w:rPr>
        <w:t>Легес</w:t>
      </w:r>
      <w:proofErr w:type="spellEnd"/>
      <w:r w:rsidRPr="00205156">
        <w:rPr>
          <w:rFonts w:ascii="Times New Roman" w:hAnsi="Times New Roman"/>
          <w:sz w:val="20"/>
          <w:szCs w:val="20"/>
        </w:rPr>
        <w:t xml:space="preserve"> Бюро», 105064, г. Москва, Земляной Вал, д. 4, стр. 1 </w:t>
      </w:r>
    </w:p>
    <w:p w:rsidR="00205156" w:rsidRPr="00205156" w:rsidRDefault="00205156" w:rsidP="00205156">
      <w:pPr>
        <w:spacing w:line="240" w:lineRule="auto"/>
        <w:rPr>
          <w:rFonts w:ascii="Times New Roman" w:hAnsi="Times New Roman"/>
          <w:sz w:val="20"/>
          <w:szCs w:val="20"/>
        </w:rPr>
      </w:pPr>
      <w:r w:rsidRPr="00205156">
        <w:rPr>
          <w:rFonts w:ascii="Times New Roman" w:hAnsi="Times New Roman"/>
          <w:sz w:val="20"/>
          <w:szCs w:val="20"/>
        </w:rPr>
        <w:t>Тел.: +7 (495) 916-0190, +7 (966) 009-1979, +7 (925) 500-2532</w:t>
      </w:r>
    </w:p>
    <w:p w:rsidR="007843C7" w:rsidRPr="00205156" w:rsidRDefault="00205156" w:rsidP="00205156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205156">
        <w:rPr>
          <w:rFonts w:ascii="Times New Roman" w:hAnsi="Times New Roman"/>
          <w:sz w:val="20"/>
          <w:szCs w:val="20"/>
        </w:rPr>
        <w:t>Е</w:t>
      </w:r>
      <w:r w:rsidRPr="00205156">
        <w:rPr>
          <w:rFonts w:ascii="Times New Roman" w:hAnsi="Times New Roman"/>
          <w:sz w:val="20"/>
          <w:szCs w:val="20"/>
          <w:lang w:val="en-US"/>
        </w:rPr>
        <w:t xml:space="preserve">-mail: </w:t>
      </w:r>
      <w:hyperlink r:id="rId6" w:history="1">
        <w:r w:rsidRPr="00205156">
          <w:rPr>
            <w:rStyle w:val="a3"/>
            <w:rFonts w:ascii="Times New Roman" w:hAnsi="Times New Roman"/>
            <w:sz w:val="20"/>
            <w:szCs w:val="20"/>
            <w:lang w:val="en-US"/>
          </w:rPr>
          <w:t>legesburo@mail.ru</w:t>
        </w:r>
      </w:hyperlink>
      <w:r w:rsidRPr="00205156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7" w:history="1">
        <w:r w:rsidRPr="00205156">
          <w:rPr>
            <w:rStyle w:val="a3"/>
            <w:rFonts w:ascii="Times New Roman" w:hAnsi="Times New Roman"/>
            <w:sz w:val="20"/>
            <w:szCs w:val="20"/>
            <w:lang w:val="en-US"/>
          </w:rPr>
          <w:t>5002532@mail.ru</w:t>
        </w:r>
      </w:hyperlink>
    </w:p>
    <w:sectPr w:rsidR="007843C7" w:rsidRPr="00205156" w:rsidSect="002C303E">
      <w:pgSz w:w="11906" w:h="16838"/>
      <w:pgMar w:top="851" w:right="991" w:bottom="851" w:left="1134" w:header="72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8"/>
    <w:rsid w:val="0000096E"/>
    <w:rsid w:val="000009AE"/>
    <w:rsid w:val="000018F2"/>
    <w:rsid w:val="0000287C"/>
    <w:rsid w:val="00012203"/>
    <w:rsid w:val="00012464"/>
    <w:rsid w:val="00024FB2"/>
    <w:rsid w:val="00025331"/>
    <w:rsid w:val="00031670"/>
    <w:rsid w:val="000320E5"/>
    <w:rsid w:val="00032621"/>
    <w:rsid w:val="00033255"/>
    <w:rsid w:val="00036ED6"/>
    <w:rsid w:val="000411F1"/>
    <w:rsid w:val="0004393D"/>
    <w:rsid w:val="000442AF"/>
    <w:rsid w:val="000524D9"/>
    <w:rsid w:val="00052C00"/>
    <w:rsid w:val="000541FA"/>
    <w:rsid w:val="00054999"/>
    <w:rsid w:val="00057CDC"/>
    <w:rsid w:val="00060CA0"/>
    <w:rsid w:val="00067441"/>
    <w:rsid w:val="000677F3"/>
    <w:rsid w:val="00067C5F"/>
    <w:rsid w:val="0007277F"/>
    <w:rsid w:val="00075266"/>
    <w:rsid w:val="000758C6"/>
    <w:rsid w:val="00076752"/>
    <w:rsid w:val="00076817"/>
    <w:rsid w:val="00076EE1"/>
    <w:rsid w:val="00093143"/>
    <w:rsid w:val="000935F5"/>
    <w:rsid w:val="000970BB"/>
    <w:rsid w:val="000A2001"/>
    <w:rsid w:val="000A3556"/>
    <w:rsid w:val="000B4AE3"/>
    <w:rsid w:val="000C65BB"/>
    <w:rsid w:val="000C792D"/>
    <w:rsid w:val="000D2EFE"/>
    <w:rsid w:val="000D7050"/>
    <w:rsid w:val="000E1502"/>
    <w:rsid w:val="000E5D46"/>
    <w:rsid w:val="000E69A0"/>
    <w:rsid w:val="000F08F5"/>
    <w:rsid w:val="000F1811"/>
    <w:rsid w:val="000F1DB5"/>
    <w:rsid w:val="00100E6E"/>
    <w:rsid w:val="00102D18"/>
    <w:rsid w:val="001053B4"/>
    <w:rsid w:val="001071E7"/>
    <w:rsid w:val="00111534"/>
    <w:rsid w:val="00132B26"/>
    <w:rsid w:val="001346F1"/>
    <w:rsid w:val="00142147"/>
    <w:rsid w:val="001636CB"/>
    <w:rsid w:val="00165C25"/>
    <w:rsid w:val="0016687C"/>
    <w:rsid w:val="00175626"/>
    <w:rsid w:val="00181751"/>
    <w:rsid w:val="00184CBF"/>
    <w:rsid w:val="00191B08"/>
    <w:rsid w:val="001963D7"/>
    <w:rsid w:val="001A0683"/>
    <w:rsid w:val="001A0F26"/>
    <w:rsid w:val="001A2D7F"/>
    <w:rsid w:val="001A2F76"/>
    <w:rsid w:val="001A3277"/>
    <w:rsid w:val="001B4ED3"/>
    <w:rsid w:val="001B6660"/>
    <w:rsid w:val="001C0CEE"/>
    <w:rsid w:val="001C0D93"/>
    <w:rsid w:val="001C3CB7"/>
    <w:rsid w:val="001C45AB"/>
    <w:rsid w:val="001D13F0"/>
    <w:rsid w:val="001D277B"/>
    <w:rsid w:val="001D51BB"/>
    <w:rsid w:val="001D546C"/>
    <w:rsid w:val="001D58E2"/>
    <w:rsid w:val="001D6531"/>
    <w:rsid w:val="001E24A1"/>
    <w:rsid w:val="001F531A"/>
    <w:rsid w:val="001F5E2D"/>
    <w:rsid w:val="001F7710"/>
    <w:rsid w:val="001F7AF6"/>
    <w:rsid w:val="002033A1"/>
    <w:rsid w:val="00204551"/>
    <w:rsid w:val="00205156"/>
    <w:rsid w:val="00212A8E"/>
    <w:rsid w:val="002143B4"/>
    <w:rsid w:val="0022409D"/>
    <w:rsid w:val="002279BD"/>
    <w:rsid w:val="002308DD"/>
    <w:rsid w:val="00237382"/>
    <w:rsid w:val="0024248A"/>
    <w:rsid w:val="00246B0C"/>
    <w:rsid w:val="00260E82"/>
    <w:rsid w:val="00262B6E"/>
    <w:rsid w:val="002707F5"/>
    <w:rsid w:val="00276E99"/>
    <w:rsid w:val="00280541"/>
    <w:rsid w:val="0028098D"/>
    <w:rsid w:val="00293532"/>
    <w:rsid w:val="0029547E"/>
    <w:rsid w:val="00295D8D"/>
    <w:rsid w:val="002A1405"/>
    <w:rsid w:val="002B35D6"/>
    <w:rsid w:val="002C4929"/>
    <w:rsid w:val="002C4CA2"/>
    <w:rsid w:val="002C61CA"/>
    <w:rsid w:val="002C6352"/>
    <w:rsid w:val="002D343A"/>
    <w:rsid w:val="002E57DF"/>
    <w:rsid w:val="002F13E9"/>
    <w:rsid w:val="002F74AB"/>
    <w:rsid w:val="00301442"/>
    <w:rsid w:val="00301A52"/>
    <w:rsid w:val="00311A74"/>
    <w:rsid w:val="00316CC4"/>
    <w:rsid w:val="00325129"/>
    <w:rsid w:val="003311D5"/>
    <w:rsid w:val="003347FB"/>
    <w:rsid w:val="0034062C"/>
    <w:rsid w:val="00343245"/>
    <w:rsid w:val="00356CA4"/>
    <w:rsid w:val="00361459"/>
    <w:rsid w:val="0036354C"/>
    <w:rsid w:val="003741A1"/>
    <w:rsid w:val="00375396"/>
    <w:rsid w:val="00381416"/>
    <w:rsid w:val="00385972"/>
    <w:rsid w:val="0038671B"/>
    <w:rsid w:val="00392F06"/>
    <w:rsid w:val="00394E94"/>
    <w:rsid w:val="00397F40"/>
    <w:rsid w:val="003A6495"/>
    <w:rsid w:val="003B0C40"/>
    <w:rsid w:val="003B17A0"/>
    <w:rsid w:val="003B2488"/>
    <w:rsid w:val="003B4F2B"/>
    <w:rsid w:val="003B5601"/>
    <w:rsid w:val="003C18D2"/>
    <w:rsid w:val="003C2E06"/>
    <w:rsid w:val="003C36B3"/>
    <w:rsid w:val="003C44D1"/>
    <w:rsid w:val="003C5521"/>
    <w:rsid w:val="003C5F90"/>
    <w:rsid w:val="003C7835"/>
    <w:rsid w:val="003D06F5"/>
    <w:rsid w:val="003D6619"/>
    <w:rsid w:val="003D78C4"/>
    <w:rsid w:val="003D7B5F"/>
    <w:rsid w:val="003E0531"/>
    <w:rsid w:val="003E5597"/>
    <w:rsid w:val="003F3637"/>
    <w:rsid w:val="00401135"/>
    <w:rsid w:val="00401763"/>
    <w:rsid w:val="004020DE"/>
    <w:rsid w:val="004034C5"/>
    <w:rsid w:val="00404829"/>
    <w:rsid w:val="00406069"/>
    <w:rsid w:val="00407655"/>
    <w:rsid w:val="004105AD"/>
    <w:rsid w:val="00410F91"/>
    <w:rsid w:val="0041732C"/>
    <w:rsid w:val="00417CFF"/>
    <w:rsid w:val="004214E0"/>
    <w:rsid w:val="0042267F"/>
    <w:rsid w:val="00427F61"/>
    <w:rsid w:val="00441BC2"/>
    <w:rsid w:val="00443FA0"/>
    <w:rsid w:val="004459AB"/>
    <w:rsid w:val="0044704E"/>
    <w:rsid w:val="004470DA"/>
    <w:rsid w:val="00454AD9"/>
    <w:rsid w:val="00461475"/>
    <w:rsid w:val="0046164E"/>
    <w:rsid w:val="0046283D"/>
    <w:rsid w:val="0046445C"/>
    <w:rsid w:val="0046601C"/>
    <w:rsid w:val="00466080"/>
    <w:rsid w:val="00470909"/>
    <w:rsid w:val="00475412"/>
    <w:rsid w:val="00483DA1"/>
    <w:rsid w:val="0048479F"/>
    <w:rsid w:val="004874D8"/>
    <w:rsid w:val="0049271F"/>
    <w:rsid w:val="00492EC8"/>
    <w:rsid w:val="00493C8E"/>
    <w:rsid w:val="00494D67"/>
    <w:rsid w:val="004A4C05"/>
    <w:rsid w:val="004B0D36"/>
    <w:rsid w:val="004B1951"/>
    <w:rsid w:val="004B7A44"/>
    <w:rsid w:val="004C02B1"/>
    <w:rsid w:val="004C11BC"/>
    <w:rsid w:val="004C3DE6"/>
    <w:rsid w:val="004C5870"/>
    <w:rsid w:val="004D190A"/>
    <w:rsid w:val="004D3A6A"/>
    <w:rsid w:val="004E2979"/>
    <w:rsid w:val="004E4FA1"/>
    <w:rsid w:val="004F1771"/>
    <w:rsid w:val="004F4243"/>
    <w:rsid w:val="005005EE"/>
    <w:rsid w:val="00503E22"/>
    <w:rsid w:val="00506D87"/>
    <w:rsid w:val="005157E7"/>
    <w:rsid w:val="00516A2F"/>
    <w:rsid w:val="005207CD"/>
    <w:rsid w:val="00523D62"/>
    <w:rsid w:val="005423DF"/>
    <w:rsid w:val="00551314"/>
    <w:rsid w:val="00552F62"/>
    <w:rsid w:val="005565E6"/>
    <w:rsid w:val="00565669"/>
    <w:rsid w:val="005678E2"/>
    <w:rsid w:val="005844B8"/>
    <w:rsid w:val="00584DCB"/>
    <w:rsid w:val="00591D53"/>
    <w:rsid w:val="00594540"/>
    <w:rsid w:val="005A00D8"/>
    <w:rsid w:val="005A75F5"/>
    <w:rsid w:val="005B465A"/>
    <w:rsid w:val="005B48DC"/>
    <w:rsid w:val="005B4C10"/>
    <w:rsid w:val="005C0110"/>
    <w:rsid w:val="005C2F8C"/>
    <w:rsid w:val="005C5C90"/>
    <w:rsid w:val="005C6075"/>
    <w:rsid w:val="005C6EA0"/>
    <w:rsid w:val="005C7614"/>
    <w:rsid w:val="005D12A7"/>
    <w:rsid w:val="005D4783"/>
    <w:rsid w:val="005D48FF"/>
    <w:rsid w:val="005E06DC"/>
    <w:rsid w:val="005F28BA"/>
    <w:rsid w:val="005F56CB"/>
    <w:rsid w:val="005F588A"/>
    <w:rsid w:val="005F604B"/>
    <w:rsid w:val="005F6E11"/>
    <w:rsid w:val="00601C64"/>
    <w:rsid w:val="006031B0"/>
    <w:rsid w:val="006042C8"/>
    <w:rsid w:val="0061004B"/>
    <w:rsid w:val="00623BE6"/>
    <w:rsid w:val="0062637E"/>
    <w:rsid w:val="00631303"/>
    <w:rsid w:val="0063717E"/>
    <w:rsid w:val="006460FC"/>
    <w:rsid w:val="00647D40"/>
    <w:rsid w:val="006506CA"/>
    <w:rsid w:val="00651D45"/>
    <w:rsid w:val="00676B0A"/>
    <w:rsid w:val="00682BA4"/>
    <w:rsid w:val="00683483"/>
    <w:rsid w:val="00692A10"/>
    <w:rsid w:val="0069396D"/>
    <w:rsid w:val="006954C8"/>
    <w:rsid w:val="006A080F"/>
    <w:rsid w:val="006A25BB"/>
    <w:rsid w:val="006B08BC"/>
    <w:rsid w:val="006B2089"/>
    <w:rsid w:val="006B3BEB"/>
    <w:rsid w:val="006B40F4"/>
    <w:rsid w:val="006C7D6F"/>
    <w:rsid w:val="006C7F4A"/>
    <w:rsid w:val="006D3A17"/>
    <w:rsid w:val="006E0342"/>
    <w:rsid w:val="006E0366"/>
    <w:rsid w:val="006F2814"/>
    <w:rsid w:val="006F3A14"/>
    <w:rsid w:val="006F5F30"/>
    <w:rsid w:val="006F702E"/>
    <w:rsid w:val="00700C1C"/>
    <w:rsid w:val="0070241A"/>
    <w:rsid w:val="00702E51"/>
    <w:rsid w:val="007107BD"/>
    <w:rsid w:val="00712A2F"/>
    <w:rsid w:val="00716F00"/>
    <w:rsid w:val="00722B81"/>
    <w:rsid w:val="00724A8F"/>
    <w:rsid w:val="00726D28"/>
    <w:rsid w:val="00731C92"/>
    <w:rsid w:val="007354E0"/>
    <w:rsid w:val="007367C1"/>
    <w:rsid w:val="00741ECC"/>
    <w:rsid w:val="00750341"/>
    <w:rsid w:val="0075307F"/>
    <w:rsid w:val="00753A7C"/>
    <w:rsid w:val="00762C60"/>
    <w:rsid w:val="00770001"/>
    <w:rsid w:val="00775CDD"/>
    <w:rsid w:val="00776F05"/>
    <w:rsid w:val="00782BDC"/>
    <w:rsid w:val="007843C7"/>
    <w:rsid w:val="007869B7"/>
    <w:rsid w:val="00786C18"/>
    <w:rsid w:val="0078768A"/>
    <w:rsid w:val="00790A48"/>
    <w:rsid w:val="007A0466"/>
    <w:rsid w:val="007A7189"/>
    <w:rsid w:val="007A76FF"/>
    <w:rsid w:val="007A7A06"/>
    <w:rsid w:val="007B67D8"/>
    <w:rsid w:val="007E7803"/>
    <w:rsid w:val="007F261A"/>
    <w:rsid w:val="007F696A"/>
    <w:rsid w:val="007F7A51"/>
    <w:rsid w:val="00813FEF"/>
    <w:rsid w:val="008161E9"/>
    <w:rsid w:val="00821286"/>
    <w:rsid w:val="0082427D"/>
    <w:rsid w:val="00825830"/>
    <w:rsid w:val="008271FD"/>
    <w:rsid w:val="00827410"/>
    <w:rsid w:val="00832836"/>
    <w:rsid w:val="008334DF"/>
    <w:rsid w:val="00834C6F"/>
    <w:rsid w:val="008379CF"/>
    <w:rsid w:val="00840255"/>
    <w:rsid w:val="00840AAC"/>
    <w:rsid w:val="008474F4"/>
    <w:rsid w:val="00850536"/>
    <w:rsid w:val="008512BD"/>
    <w:rsid w:val="00856019"/>
    <w:rsid w:val="0086035C"/>
    <w:rsid w:val="00862B1D"/>
    <w:rsid w:val="00863B14"/>
    <w:rsid w:val="008662F9"/>
    <w:rsid w:val="00866391"/>
    <w:rsid w:val="0087025E"/>
    <w:rsid w:val="008717CE"/>
    <w:rsid w:val="00874139"/>
    <w:rsid w:val="008754A1"/>
    <w:rsid w:val="008770C5"/>
    <w:rsid w:val="00877F3D"/>
    <w:rsid w:val="008A187C"/>
    <w:rsid w:val="008A4AB2"/>
    <w:rsid w:val="008A6BDF"/>
    <w:rsid w:val="008C051D"/>
    <w:rsid w:val="008C7D56"/>
    <w:rsid w:val="008D6FCF"/>
    <w:rsid w:val="008E2D4A"/>
    <w:rsid w:val="008E42F0"/>
    <w:rsid w:val="008E6682"/>
    <w:rsid w:val="008F0AF9"/>
    <w:rsid w:val="008F1DCA"/>
    <w:rsid w:val="008F2969"/>
    <w:rsid w:val="008F36AB"/>
    <w:rsid w:val="008F6736"/>
    <w:rsid w:val="00900B45"/>
    <w:rsid w:val="00902D40"/>
    <w:rsid w:val="009036FA"/>
    <w:rsid w:val="00905C7C"/>
    <w:rsid w:val="009060E8"/>
    <w:rsid w:val="00906E07"/>
    <w:rsid w:val="00910FF8"/>
    <w:rsid w:val="009144BD"/>
    <w:rsid w:val="0092169D"/>
    <w:rsid w:val="00950277"/>
    <w:rsid w:val="00951C48"/>
    <w:rsid w:val="009557A2"/>
    <w:rsid w:val="00964C2D"/>
    <w:rsid w:val="009742DA"/>
    <w:rsid w:val="00974CC8"/>
    <w:rsid w:val="009753D2"/>
    <w:rsid w:val="00983156"/>
    <w:rsid w:val="00994B90"/>
    <w:rsid w:val="009A0EB4"/>
    <w:rsid w:val="009A6A1F"/>
    <w:rsid w:val="009B7648"/>
    <w:rsid w:val="009C0565"/>
    <w:rsid w:val="009C4144"/>
    <w:rsid w:val="009D05AB"/>
    <w:rsid w:val="009D094F"/>
    <w:rsid w:val="009E4397"/>
    <w:rsid w:val="009E51FF"/>
    <w:rsid w:val="009E7F8C"/>
    <w:rsid w:val="009F13A2"/>
    <w:rsid w:val="009F1444"/>
    <w:rsid w:val="00A00D00"/>
    <w:rsid w:val="00A04257"/>
    <w:rsid w:val="00A06501"/>
    <w:rsid w:val="00A0750A"/>
    <w:rsid w:val="00A11842"/>
    <w:rsid w:val="00A15635"/>
    <w:rsid w:val="00A158D2"/>
    <w:rsid w:val="00A15CAD"/>
    <w:rsid w:val="00A172F2"/>
    <w:rsid w:val="00A31DFF"/>
    <w:rsid w:val="00A339BD"/>
    <w:rsid w:val="00A36D39"/>
    <w:rsid w:val="00A45617"/>
    <w:rsid w:val="00A46AF4"/>
    <w:rsid w:val="00A52A32"/>
    <w:rsid w:val="00A52FC6"/>
    <w:rsid w:val="00A536E5"/>
    <w:rsid w:val="00A53D06"/>
    <w:rsid w:val="00A5638C"/>
    <w:rsid w:val="00A57F74"/>
    <w:rsid w:val="00A65ECD"/>
    <w:rsid w:val="00A6619B"/>
    <w:rsid w:val="00A66ABC"/>
    <w:rsid w:val="00A8070C"/>
    <w:rsid w:val="00A97D7C"/>
    <w:rsid w:val="00AA1BF8"/>
    <w:rsid w:val="00AA24CE"/>
    <w:rsid w:val="00AB2A67"/>
    <w:rsid w:val="00AB3D91"/>
    <w:rsid w:val="00AB400E"/>
    <w:rsid w:val="00AB4929"/>
    <w:rsid w:val="00AD202C"/>
    <w:rsid w:val="00AD3827"/>
    <w:rsid w:val="00AD3F50"/>
    <w:rsid w:val="00AD4337"/>
    <w:rsid w:val="00AE016E"/>
    <w:rsid w:val="00AE0B20"/>
    <w:rsid w:val="00AE2E23"/>
    <w:rsid w:val="00AE4E2E"/>
    <w:rsid w:val="00AE5AC1"/>
    <w:rsid w:val="00AF0053"/>
    <w:rsid w:val="00AF5F42"/>
    <w:rsid w:val="00B05F15"/>
    <w:rsid w:val="00B12105"/>
    <w:rsid w:val="00B12649"/>
    <w:rsid w:val="00B157F7"/>
    <w:rsid w:val="00B21C82"/>
    <w:rsid w:val="00B23803"/>
    <w:rsid w:val="00B25715"/>
    <w:rsid w:val="00B43D1F"/>
    <w:rsid w:val="00B464EE"/>
    <w:rsid w:val="00B52206"/>
    <w:rsid w:val="00B56860"/>
    <w:rsid w:val="00B6213D"/>
    <w:rsid w:val="00B76806"/>
    <w:rsid w:val="00B833E8"/>
    <w:rsid w:val="00B85A37"/>
    <w:rsid w:val="00B938B2"/>
    <w:rsid w:val="00B97BA2"/>
    <w:rsid w:val="00BA1CF6"/>
    <w:rsid w:val="00BA4BAC"/>
    <w:rsid w:val="00BA5FEB"/>
    <w:rsid w:val="00BB5C60"/>
    <w:rsid w:val="00BB71E1"/>
    <w:rsid w:val="00BC2BE8"/>
    <w:rsid w:val="00BC533C"/>
    <w:rsid w:val="00BC6095"/>
    <w:rsid w:val="00BC6349"/>
    <w:rsid w:val="00BD00B2"/>
    <w:rsid w:val="00BD2894"/>
    <w:rsid w:val="00BD37E6"/>
    <w:rsid w:val="00BD38EF"/>
    <w:rsid w:val="00BD3E86"/>
    <w:rsid w:val="00BE234B"/>
    <w:rsid w:val="00BE2DBB"/>
    <w:rsid w:val="00BF1087"/>
    <w:rsid w:val="00BF2B87"/>
    <w:rsid w:val="00BF32F6"/>
    <w:rsid w:val="00C0586A"/>
    <w:rsid w:val="00C06697"/>
    <w:rsid w:val="00C15599"/>
    <w:rsid w:val="00C16A94"/>
    <w:rsid w:val="00C3020D"/>
    <w:rsid w:val="00C34BAC"/>
    <w:rsid w:val="00C3505D"/>
    <w:rsid w:val="00C4040F"/>
    <w:rsid w:val="00C47F71"/>
    <w:rsid w:val="00C62D1A"/>
    <w:rsid w:val="00C8128D"/>
    <w:rsid w:val="00C8205B"/>
    <w:rsid w:val="00C84D17"/>
    <w:rsid w:val="00C87A73"/>
    <w:rsid w:val="00C90274"/>
    <w:rsid w:val="00C90394"/>
    <w:rsid w:val="00C91D4F"/>
    <w:rsid w:val="00C927AD"/>
    <w:rsid w:val="00C94037"/>
    <w:rsid w:val="00CA1327"/>
    <w:rsid w:val="00CA2F06"/>
    <w:rsid w:val="00CA381E"/>
    <w:rsid w:val="00CB45A7"/>
    <w:rsid w:val="00CC3AD4"/>
    <w:rsid w:val="00CC6BCF"/>
    <w:rsid w:val="00CD6148"/>
    <w:rsid w:val="00CD70CB"/>
    <w:rsid w:val="00CE20B1"/>
    <w:rsid w:val="00CE49D5"/>
    <w:rsid w:val="00CE5496"/>
    <w:rsid w:val="00CE550B"/>
    <w:rsid w:val="00CE5AFF"/>
    <w:rsid w:val="00CF6C7A"/>
    <w:rsid w:val="00CF7C62"/>
    <w:rsid w:val="00D0073D"/>
    <w:rsid w:val="00D027A3"/>
    <w:rsid w:val="00D07221"/>
    <w:rsid w:val="00D21E6F"/>
    <w:rsid w:val="00D22582"/>
    <w:rsid w:val="00D22C6E"/>
    <w:rsid w:val="00D22DC0"/>
    <w:rsid w:val="00D3012E"/>
    <w:rsid w:val="00D320EE"/>
    <w:rsid w:val="00D33B6E"/>
    <w:rsid w:val="00D345BB"/>
    <w:rsid w:val="00D358D2"/>
    <w:rsid w:val="00D44811"/>
    <w:rsid w:val="00D51621"/>
    <w:rsid w:val="00D5391F"/>
    <w:rsid w:val="00D6739E"/>
    <w:rsid w:val="00D676EA"/>
    <w:rsid w:val="00D7345C"/>
    <w:rsid w:val="00D75706"/>
    <w:rsid w:val="00D75C42"/>
    <w:rsid w:val="00D75EF6"/>
    <w:rsid w:val="00D767DA"/>
    <w:rsid w:val="00D81A73"/>
    <w:rsid w:val="00D824FC"/>
    <w:rsid w:val="00D84DB3"/>
    <w:rsid w:val="00D86AD7"/>
    <w:rsid w:val="00D92860"/>
    <w:rsid w:val="00DA3A7D"/>
    <w:rsid w:val="00DA4183"/>
    <w:rsid w:val="00DA76DB"/>
    <w:rsid w:val="00DB202E"/>
    <w:rsid w:val="00DB301C"/>
    <w:rsid w:val="00DB4375"/>
    <w:rsid w:val="00DC6475"/>
    <w:rsid w:val="00DD0ED6"/>
    <w:rsid w:val="00DE541F"/>
    <w:rsid w:val="00DE6340"/>
    <w:rsid w:val="00DF5C53"/>
    <w:rsid w:val="00E03DA3"/>
    <w:rsid w:val="00E05776"/>
    <w:rsid w:val="00E06080"/>
    <w:rsid w:val="00E134F1"/>
    <w:rsid w:val="00E178E5"/>
    <w:rsid w:val="00E27A1E"/>
    <w:rsid w:val="00E3539E"/>
    <w:rsid w:val="00E35618"/>
    <w:rsid w:val="00E414A1"/>
    <w:rsid w:val="00E41771"/>
    <w:rsid w:val="00E46620"/>
    <w:rsid w:val="00E53E3B"/>
    <w:rsid w:val="00E548B9"/>
    <w:rsid w:val="00E549E5"/>
    <w:rsid w:val="00E54FF7"/>
    <w:rsid w:val="00E556D9"/>
    <w:rsid w:val="00E63321"/>
    <w:rsid w:val="00E662C1"/>
    <w:rsid w:val="00E7123F"/>
    <w:rsid w:val="00E743B1"/>
    <w:rsid w:val="00E74B30"/>
    <w:rsid w:val="00E76FC1"/>
    <w:rsid w:val="00E82BD3"/>
    <w:rsid w:val="00E836DB"/>
    <w:rsid w:val="00E93003"/>
    <w:rsid w:val="00EA1088"/>
    <w:rsid w:val="00EA23F8"/>
    <w:rsid w:val="00EA5BF6"/>
    <w:rsid w:val="00EA6FCB"/>
    <w:rsid w:val="00EB1F6B"/>
    <w:rsid w:val="00EB4211"/>
    <w:rsid w:val="00EC2103"/>
    <w:rsid w:val="00EC60F9"/>
    <w:rsid w:val="00ED13CF"/>
    <w:rsid w:val="00ED6321"/>
    <w:rsid w:val="00EE0D61"/>
    <w:rsid w:val="00EE7A32"/>
    <w:rsid w:val="00F010D5"/>
    <w:rsid w:val="00F059A9"/>
    <w:rsid w:val="00F05E6D"/>
    <w:rsid w:val="00F14D18"/>
    <w:rsid w:val="00F23D50"/>
    <w:rsid w:val="00F24CAF"/>
    <w:rsid w:val="00F27B02"/>
    <w:rsid w:val="00F30920"/>
    <w:rsid w:val="00F34659"/>
    <w:rsid w:val="00F405A0"/>
    <w:rsid w:val="00F437C5"/>
    <w:rsid w:val="00F54F4D"/>
    <w:rsid w:val="00F5750B"/>
    <w:rsid w:val="00F578B7"/>
    <w:rsid w:val="00F65F6C"/>
    <w:rsid w:val="00F760D0"/>
    <w:rsid w:val="00F76A66"/>
    <w:rsid w:val="00F86353"/>
    <w:rsid w:val="00F8756B"/>
    <w:rsid w:val="00FA1E90"/>
    <w:rsid w:val="00FA1EE4"/>
    <w:rsid w:val="00FB0F5D"/>
    <w:rsid w:val="00FB54E1"/>
    <w:rsid w:val="00FB7BF5"/>
    <w:rsid w:val="00FD01C2"/>
    <w:rsid w:val="00FD0A10"/>
    <w:rsid w:val="00FD4B9C"/>
    <w:rsid w:val="00FD53C0"/>
    <w:rsid w:val="00FE1248"/>
    <w:rsid w:val="00FE1EB9"/>
    <w:rsid w:val="00FF73C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AA6E-C0A1-418B-86C7-801F6CF5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2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500253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esburo@mail.ru" TargetMode="External"/><Relationship Id="rId5" Type="http://schemas.openxmlformats.org/officeDocument/2006/relationships/hyperlink" Target="consultantplus://offline/ref=D76D9B700C7B07FC0C62063E8924FECBF4265D96ED2CBEF5A598C247DB011C7C4C8EE467DB8F85DAiEv0P" TargetMode="External"/><Relationship Id="rId4" Type="http://schemas.openxmlformats.org/officeDocument/2006/relationships/hyperlink" Target="consultantplus://offline/ref=D76D9B700C7B07FC0C62063E8924FECBFC235C9FEE2FE3FFADC1CE45DC0E436B4BC7E866DB8F85iDv5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1811</Words>
  <Characters>10324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3</cp:revision>
  <dcterms:created xsi:type="dcterms:W3CDTF">2015-09-21T13:13:00Z</dcterms:created>
  <dcterms:modified xsi:type="dcterms:W3CDTF">2015-09-21T13:19:00Z</dcterms:modified>
</cp:coreProperties>
</file>